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Enterprise Feasibility Worksheet</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of Purpose: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Enterprise Feasibility Worksheet is designed to identify potential barriers to the success of each timber or non-timber forest product and service identified by you and the woodland steward, thus far. This worksheet builds upon the results of the woodland steward’s Whole Woods Assessment and the Woodland Steward(s) Evaluation Worksheet.</w:t>
      </w:r>
    </w:p>
    <w:p w:rsidR="00000000" w:rsidDel="00000000" w:rsidP="00000000" w:rsidRDefault="00000000" w:rsidRPr="00000000" w14:paraId="00000005">
      <w:pPr>
        <w:rPr>
          <w:rFonts w:ascii="Times New Roman" w:cs="Times New Roman" w:eastAsia="Times New Roman" w:hAnsi="Times New Roman"/>
          <w:sz w:val="24"/>
          <w:szCs w:val="24"/>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forest provide the necessary conditions for the timber and non-timber forest products and services identified by you and the woodland steward(s)?</w:t>
      </w:r>
    </w:p>
    <w:p w:rsidR="00000000" w:rsidDel="00000000" w:rsidP="00000000" w:rsidRDefault="00000000" w:rsidRPr="00000000" w14:paraId="0000000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you’re assessing more than one enterprise, how do the products or services interact in a single landscape? Is it a mutually beneficial relationship? Ie. The maple stand creates an ideal habitat for cultivating wild-simulated ramps. </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timber and non-timber forest product(s) or service(s) are “low-hanging fruit” in the forest? List below.</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would you rate each of the timber and non-timber forest product(s) or service(s) on their ease of implementation? List and assign a value below. 1 (easy; already exists) to 10 (very difficult; labor, equipment, investment capital, etc. is high)</w:t>
      </w:r>
    </w:p>
    <w:p w:rsidR="00000000" w:rsidDel="00000000" w:rsidP="00000000" w:rsidRDefault="00000000" w:rsidRPr="00000000" w14:paraId="0000000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access to the necessary inputs to start the enterprise and keep it going?</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existing infrastructure to support the enterprise? List and describe the infrastructure below.</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infrastructure nearby that the woodland steward has access to? List and describe the infrastructure below.</w:t>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existing labor to meet the needs of production? If not, do they have access to additional labor?</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markets selected by the woodland steward(s), do they exist? Or, will the woodland steward be creating a new market?</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they have the proper transportation, if necessary, to access those markets?</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required of the woodland steward to enter those markets? (Ie. GAP certification, USDA Organic certification, business license, etc.)</w:t>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county, state or federal regulations that the woodland steward needs to abide by? </w:t>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woodland steward have a liability insurance policy?</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Strengths, Weakness, Opportunities, and Threats (SWOT) Analysis</w:t>
      </w:r>
    </w:p>
    <w:p w:rsidR="00000000" w:rsidDel="00000000" w:rsidP="00000000" w:rsidRDefault="00000000" w:rsidRPr="00000000" w14:paraId="00000022">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u w:val="singl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Strengths</w:t>
            </w:r>
          </w:p>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Weaknesses</w:t>
            </w:r>
          </w:p>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Opportunities </w:t>
            </w:r>
          </w:p>
          <w:p w:rsidR="00000000" w:rsidDel="00000000" w:rsidP="00000000" w:rsidRDefault="00000000" w:rsidRPr="00000000" w14:paraId="00000030">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Threats</w:t>
            </w:r>
          </w:p>
        </w:tc>
      </w:tr>
    </w:tbl>
    <w:p w:rsidR="00000000" w:rsidDel="00000000" w:rsidP="00000000" w:rsidRDefault="00000000" w:rsidRPr="00000000" w14:paraId="00000036">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1nzAuxlxbwJK4WrJura5L1Jxw==">AMUW2mVZckIG34CiNY18gjVMaicWsJVaq7G/Wq7a9TvhJk4QndrrXwX5kK9+uDD2VnPJrJUEedoUthcrqn3ZfF2mfDkK2kC9hYFhZfBPHzJIV3Y/AsRX9vk=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